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D696D" w14:textId="77777777" w:rsidR="00FC3476" w:rsidRPr="00FC3476" w:rsidRDefault="00FC3476" w:rsidP="00FC3476">
      <w:pPr>
        <w:shd w:val="clear" w:color="auto" w:fill="FFFFFF"/>
        <w:outlineLvl w:val="0"/>
        <w:rPr>
          <w:rFonts w:ascii="Lato" w:eastAsia="Times New Roman" w:hAnsi="Lato" w:cs="Times New Roman"/>
          <w:color w:val="CC3300"/>
          <w:kern w:val="36"/>
          <w:sz w:val="36"/>
          <w:szCs w:val="36"/>
          <w:lang w:eastAsia="fr-FR"/>
        </w:rPr>
      </w:pPr>
      <w:r w:rsidRPr="00FC3476">
        <w:rPr>
          <w:rFonts w:ascii="Lato" w:eastAsia="Times New Roman" w:hAnsi="Lato" w:cs="Times New Roman"/>
          <w:color w:val="CC3300"/>
          <w:kern w:val="36"/>
          <w:sz w:val="36"/>
          <w:szCs w:val="36"/>
          <w:lang w:eastAsia="fr-FR"/>
        </w:rPr>
        <w:t>Le complexe surfe sur les fermetures de capacités</w:t>
      </w:r>
    </w:p>
    <w:p w14:paraId="209D279E" w14:textId="77777777" w:rsidR="00FC3476" w:rsidRDefault="00FC3476" w:rsidP="00FC3476">
      <w:pPr>
        <w:shd w:val="clear" w:color="auto" w:fill="FFFFFF"/>
        <w:spacing w:before="75" w:after="75"/>
        <w:jc w:val="both"/>
        <w:rPr>
          <w:rFonts w:ascii="Lato" w:eastAsia="Times New Roman" w:hAnsi="Lato" w:cs="Times New Roman"/>
          <w:i/>
          <w:iCs/>
          <w:color w:val="000000"/>
          <w:sz w:val="23"/>
          <w:szCs w:val="23"/>
          <w:lang w:eastAsia="fr-FR"/>
        </w:rPr>
      </w:pPr>
    </w:p>
    <w:p w14:paraId="7BCCD8FB" w14:textId="6E8FE04F" w:rsidR="00FC3476" w:rsidRPr="00FC3476" w:rsidRDefault="00FC3476" w:rsidP="00FC3476">
      <w:pPr>
        <w:shd w:val="clear" w:color="auto" w:fill="FFFFFF"/>
        <w:spacing w:before="75" w:after="75"/>
        <w:jc w:val="both"/>
        <w:rPr>
          <w:rFonts w:ascii="Lato" w:eastAsia="Times New Roman" w:hAnsi="Lato" w:cs="Times New Roman"/>
          <w:color w:val="000000"/>
          <w:sz w:val="23"/>
          <w:szCs w:val="23"/>
          <w:lang w:eastAsia="fr-FR"/>
        </w:rPr>
      </w:pPr>
      <w:r w:rsidRPr="00FC3476">
        <w:rPr>
          <w:rFonts w:ascii="Lato" w:eastAsia="Times New Roman" w:hAnsi="Lato" w:cs="Times New Roman"/>
          <w:color w:val="000000"/>
          <w:sz w:val="23"/>
          <w:szCs w:val="23"/>
          <w:lang w:eastAsia="fr-FR"/>
        </w:rPr>
        <w:t>Les cours inversent la tendance ce matin à Londres, où les opérateurs portent leur attention sur les tensions sur les disponibilités en métaux, notamment en </w:t>
      </w:r>
      <w:r w:rsidRPr="00FC3476">
        <w:rPr>
          <w:rFonts w:ascii="Lato" w:eastAsia="Times New Roman" w:hAnsi="Lato" w:cs="Times New Roman"/>
          <w:color w:val="000000"/>
          <w:sz w:val="23"/>
          <w:szCs w:val="23"/>
          <w:u w:val="single"/>
          <w:lang w:eastAsia="fr-FR"/>
        </w:rPr>
        <w:t>zinc</w:t>
      </w:r>
      <w:r w:rsidRPr="00FC3476">
        <w:rPr>
          <w:rFonts w:ascii="Lato" w:eastAsia="Times New Roman" w:hAnsi="Lato" w:cs="Times New Roman"/>
          <w:color w:val="000000"/>
          <w:sz w:val="23"/>
          <w:szCs w:val="23"/>
          <w:lang w:eastAsia="fr-FR"/>
        </w:rPr>
        <w:t> et en </w:t>
      </w:r>
      <w:r w:rsidRPr="00FC3476">
        <w:rPr>
          <w:rFonts w:ascii="Lato" w:eastAsia="Times New Roman" w:hAnsi="Lato" w:cs="Times New Roman"/>
          <w:color w:val="000000"/>
          <w:sz w:val="23"/>
          <w:szCs w:val="23"/>
          <w:u w:val="single"/>
          <w:lang w:eastAsia="fr-FR"/>
        </w:rPr>
        <w:t>aluminium</w:t>
      </w:r>
      <w:r w:rsidRPr="00FC3476">
        <w:rPr>
          <w:rFonts w:ascii="Lato" w:eastAsia="Times New Roman" w:hAnsi="Lato" w:cs="Times New Roman"/>
          <w:color w:val="000000"/>
          <w:sz w:val="23"/>
          <w:szCs w:val="23"/>
          <w:lang w:eastAsia="fr-FR"/>
        </w:rPr>
        <w:t>, en raison de la pénurie d’électricité, alors qu’hier ils s’inquiétaient de la santé de la demande chinoise. La progression est cependant limitée par la remontée des taux d’intérêt et la faiblesse de l’économie mondiale. En Chine, quelque 500.000 tonnes de capacités de production de </w:t>
      </w:r>
      <w:r w:rsidRPr="00FC3476">
        <w:rPr>
          <w:rFonts w:ascii="Lato" w:eastAsia="Times New Roman" w:hAnsi="Lato" w:cs="Times New Roman"/>
          <w:color w:val="000000"/>
          <w:sz w:val="23"/>
          <w:szCs w:val="23"/>
          <w:u w:val="single"/>
          <w:lang w:eastAsia="fr-FR"/>
        </w:rPr>
        <w:t>zinc</w:t>
      </w:r>
      <w:r w:rsidRPr="00FC3476">
        <w:rPr>
          <w:rFonts w:ascii="Lato" w:eastAsia="Times New Roman" w:hAnsi="Lato" w:cs="Times New Roman"/>
          <w:color w:val="000000"/>
          <w:sz w:val="23"/>
          <w:szCs w:val="23"/>
          <w:lang w:eastAsia="fr-FR"/>
        </w:rPr>
        <w:t> auraient été fermées en raison des restrictions d’accès à l’électricité causées par la sécheresse, selon un consultant du CRU (</w:t>
      </w:r>
      <w:proofErr w:type="spellStart"/>
      <w:r w:rsidRPr="00FC3476">
        <w:rPr>
          <w:rFonts w:ascii="Lato" w:eastAsia="Times New Roman" w:hAnsi="Lato" w:cs="Times New Roman"/>
          <w:color w:val="000000"/>
          <w:sz w:val="23"/>
          <w:szCs w:val="23"/>
          <w:lang w:eastAsia="fr-FR"/>
        </w:rPr>
        <w:t>Commodity</w:t>
      </w:r>
      <w:proofErr w:type="spellEnd"/>
      <w:r w:rsidRPr="00FC3476">
        <w:rPr>
          <w:rFonts w:ascii="Lato" w:eastAsia="Times New Roman" w:hAnsi="Lato" w:cs="Times New Roman"/>
          <w:color w:val="000000"/>
          <w:sz w:val="23"/>
          <w:szCs w:val="23"/>
          <w:lang w:eastAsia="fr-FR"/>
        </w:rPr>
        <w:t xml:space="preserve"> </w:t>
      </w:r>
      <w:proofErr w:type="spellStart"/>
      <w:r w:rsidRPr="00FC3476">
        <w:rPr>
          <w:rFonts w:ascii="Lato" w:eastAsia="Times New Roman" w:hAnsi="Lato" w:cs="Times New Roman"/>
          <w:color w:val="000000"/>
          <w:sz w:val="23"/>
          <w:szCs w:val="23"/>
          <w:lang w:eastAsia="fr-FR"/>
        </w:rPr>
        <w:t>Research</w:t>
      </w:r>
      <w:proofErr w:type="spellEnd"/>
      <w:r w:rsidRPr="00FC3476">
        <w:rPr>
          <w:rFonts w:ascii="Lato" w:eastAsia="Times New Roman" w:hAnsi="Lato" w:cs="Times New Roman"/>
          <w:color w:val="000000"/>
          <w:sz w:val="23"/>
          <w:szCs w:val="23"/>
          <w:lang w:eastAsia="fr-FR"/>
        </w:rPr>
        <w:t xml:space="preserve"> Unit). A cet égard, le contrat le plus échangé à Shanghai sur le </w:t>
      </w:r>
      <w:r w:rsidRPr="00FC3476">
        <w:rPr>
          <w:rFonts w:ascii="Lato" w:eastAsia="Times New Roman" w:hAnsi="Lato" w:cs="Times New Roman"/>
          <w:color w:val="000000"/>
          <w:sz w:val="23"/>
          <w:szCs w:val="23"/>
          <w:u w:val="single"/>
          <w:lang w:eastAsia="fr-FR"/>
        </w:rPr>
        <w:t>zinc</w:t>
      </w:r>
      <w:r w:rsidRPr="00FC3476">
        <w:rPr>
          <w:rFonts w:ascii="Lato" w:eastAsia="Times New Roman" w:hAnsi="Lato" w:cs="Times New Roman"/>
          <w:color w:val="000000"/>
          <w:sz w:val="23"/>
          <w:szCs w:val="23"/>
          <w:lang w:eastAsia="fr-FR"/>
        </w:rPr>
        <w:t> a renchéri de 2,3% à 25.485 yuans/t (3.720 $/t). Le contrat sur </w:t>
      </w:r>
      <w:r w:rsidRPr="00FC3476">
        <w:rPr>
          <w:rFonts w:ascii="Lato" w:eastAsia="Times New Roman" w:hAnsi="Lato" w:cs="Times New Roman"/>
          <w:color w:val="000000"/>
          <w:sz w:val="23"/>
          <w:szCs w:val="23"/>
          <w:u w:val="single"/>
          <w:lang w:eastAsia="fr-FR"/>
        </w:rPr>
        <w:t>l’aluminium</w:t>
      </w:r>
      <w:r w:rsidRPr="00FC3476">
        <w:rPr>
          <w:rFonts w:ascii="Lato" w:eastAsia="Times New Roman" w:hAnsi="Lato" w:cs="Times New Roman"/>
          <w:color w:val="000000"/>
          <w:sz w:val="23"/>
          <w:szCs w:val="23"/>
          <w:lang w:eastAsia="fr-FR"/>
        </w:rPr>
        <w:t>, à Shanghai, s’apprécie de 1,1% à 18.735 yuan/t. A Londres, le </w:t>
      </w:r>
      <w:r w:rsidRPr="00FC3476">
        <w:rPr>
          <w:rFonts w:ascii="Lato" w:eastAsia="Times New Roman" w:hAnsi="Lato" w:cs="Times New Roman"/>
          <w:color w:val="000000"/>
          <w:sz w:val="23"/>
          <w:szCs w:val="23"/>
          <w:u w:val="single"/>
          <w:lang w:eastAsia="fr-FR"/>
        </w:rPr>
        <w:t>cuivre</w:t>
      </w:r>
      <w:r w:rsidRPr="00FC3476">
        <w:rPr>
          <w:rFonts w:ascii="Lato" w:eastAsia="Times New Roman" w:hAnsi="Lato" w:cs="Times New Roman"/>
          <w:color w:val="000000"/>
          <w:sz w:val="23"/>
          <w:szCs w:val="23"/>
          <w:lang w:eastAsia="fr-FR"/>
        </w:rPr>
        <w:t> gagne 0,5% à 8.010 $/t depuis l’ouverture ; l’aluminium progresse de 0,4% à 2.393 $/t tandis que le </w:t>
      </w:r>
      <w:r w:rsidRPr="00FC3476">
        <w:rPr>
          <w:rFonts w:ascii="Lato" w:eastAsia="Times New Roman" w:hAnsi="Lato" w:cs="Times New Roman"/>
          <w:color w:val="000000"/>
          <w:sz w:val="23"/>
          <w:szCs w:val="23"/>
          <w:u w:val="single"/>
          <w:lang w:eastAsia="fr-FR"/>
        </w:rPr>
        <w:t>zinc</w:t>
      </w:r>
      <w:r w:rsidRPr="00FC3476">
        <w:rPr>
          <w:rFonts w:ascii="Lato" w:eastAsia="Times New Roman" w:hAnsi="Lato" w:cs="Times New Roman"/>
          <w:color w:val="000000"/>
          <w:sz w:val="23"/>
          <w:szCs w:val="23"/>
          <w:lang w:eastAsia="fr-FR"/>
        </w:rPr>
        <w:t> augmente de 0,6% à 3.507 $/t.</w:t>
      </w:r>
    </w:p>
    <w:p w14:paraId="48586DA6"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476"/>
    <w:rsid w:val="000F156F"/>
    <w:rsid w:val="00CD0D9E"/>
    <w:rsid w:val="00DE48F8"/>
    <w:rsid w:val="00FC34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801FE5D"/>
  <w15:chartTrackingRefBased/>
  <w15:docId w15:val="{2B4FDBDC-89BD-DA4A-A483-DDCAC0A2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C3476"/>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476"/>
    <w:rPr>
      <w:rFonts w:ascii="Times New Roman" w:eastAsia="Times New Roman" w:hAnsi="Times New Roman" w:cs="Times New Roman"/>
      <w:b/>
      <w:bCs/>
      <w:kern w:val="36"/>
      <w:sz w:val="48"/>
      <w:szCs w:val="48"/>
      <w:lang w:eastAsia="fr-FR"/>
    </w:rPr>
  </w:style>
  <w:style w:type="paragraph" w:customStyle="1" w:styleId="infoarticle">
    <w:name w:val="info_article"/>
    <w:basedOn w:val="Normal"/>
    <w:rsid w:val="00FC3476"/>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FC3476"/>
    <w:rPr>
      <w:color w:val="0000FF"/>
      <w:u w:val="single"/>
    </w:rPr>
  </w:style>
  <w:style w:type="paragraph" w:styleId="NormalWeb">
    <w:name w:val="Normal (Web)"/>
    <w:basedOn w:val="Normal"/>
    <w:uiPriority w:val="99"/>
    <w:semiHidden/>
    <w:unhideWhenUsed/>
    <w:rsid w:val="00FC3476"/>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2022-08-23T11:10:00Z</dcterms:created>
  <dcterms:modified xsi:type="dcterms:W3CDTF">2022-08-23T11:10:00Z</dcterms:modified>
</cp:coreProperties>
</file>